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Attachment B - Fiber Splicing Costs for Segment Builds </w:t>
      </w:r>
      <w:r w:rsidDel="00000000" w:rsidR="00000000" w:rsidRPr="00000000">
        <w:rPr>
          <w:rtl w:val="0"/>
        </w:rPr>
      </w:r>
    </w:p>
    <w:p w:rsidR="00000000" w:rsidDel="00000000" w:rsidP="00000000" w:rsidRDefault="00000000" w:rsidRPr="00000000" w14:paraId="00000002">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br w:type="textWrapping"/>
        <w:t xml:space="preserve">All fiber shall be fusion spliced. </w:t>
      </w:r>
      <w:r w:rsidDel="00000000" w:rsidR="00000000" w:rsidRPr="00000000">
        <w:rPr>
          <w:rtl w:val="0"/>
        </w:rPr>
      </w:r>
    </w:p>
    <w:p w:rsidR="00000000" w:rsidDel="00000000" w:rsidP="00000000" w:rsidRDefault="00000000" w:rsidRPr="00000000" w14:paraId="00000003">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Once splicing has been completed for an entire segment, the Contractor shall perform continuity testing of optical fibers using an OPM (Optical Power Meter) and an OTDR (Optical Time Domain Reflectometer).</w:t>
      </w:r>
      <w:r w:rsidDel="00000000" w:rsidR="00000000" w:rsidRPr="00000000">
        <w:rPr>
          <w:rtl w:val="0"/>
        </w:rPr>
      </w:r>
    </w:p>
    <w:p w:rsidR="00000000" w:rsidDel="00000000" w:rsidP="00000000" w:rsidRDefault="00000000" w:rsidRPr="00000000" w14:paraId="00000004">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Contractor shall test each fiber to ensure that the path is properly installed. Unidirectional testing (using a 1 kilometer launch cable) will be documented and emailed in .sor and .pdf format reflecting unidirectional losses by fiber and installed span loss by fiber. Bidirectional reports for each fiber will also be required.  All testing will be performed at 1550 nm from Fiber Distribution Panel to Fiber Distribution Panel. During initial unidirectional OTDR testing, a general indicator of the quality of each splice will be an objective loss of 0.15 Db or less and a required bi-directional average of .15 or less per splice event. If, after three documented attempts, a Party is unable to produce a loss value of less than 0.15 Db, then 0.20 Db will become the objective. </w:t>
      </w:r>
      <w:r w:rsidDel="00000000" w:rsidR="00000000" w:rsidRPr="00000000">
        <w:rPr>
          <w:rtl w:val="0"/>
        </w:rPr>
      </w:r>
    </w:p>
    <w:p w:rsidR="00000000" w:rsidDel="00000000" w:rsidP="00000000" w:rsidRDefault="00000000" w:rsidRPr="00000000" w14:paraId="00000005">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Contractor shall fix any out of specification splices at their expense prior to submitting final test results to MCNC. All splice enclosures and associated hardware will be supplied by MCNC.</w:t>
      </w:r>
      <w:r w:rsidDel="00000000" w:rsidR="00000000" w:rsidRPr="00000000">
        <w:rPr>
          <w:rtl w:val="0"/>
        </w:rPr>
      </w:r>
    </w:p>
    <w:p w:rsidR="00000000" w:rsidDel="00000000" w:rsidP="00000000" w:rsidRDefault="00000000" w:rsidRPr="00000000" w14:paraId="00000006">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 Combined Lump Sum Price for Fiber Splicing and Testing should be a separate line item per unit, and at MCNC’s sole discretion may be awarded to a separate contractor. </w:t>
      </w:r>
      <w:r w:rsidDel="00000000" w:rsidR="00000000" w:rsidRPr="00000000">
        <w:rPr>
          <w:rtl w:val="0"/>
        </w:rPr>
      </w:r>
    </w:p>
    <w:p w:rsidR="00000000" w:rsidDel="00000000" w:rsidP="00000000" w:rsidRDefault="00000000" w:rsidRPr="00000000" w14:paraId="00000007">
      <w:pPr>
        <w:spacing w:after="20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If contracts are not awarded after finalists are determined, finalists will have an opportunity to submit the best, and final responses once final construction drawings are available.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725.0" w:type="dxa"/>
        <w:jc w:val="left"/>
        <w:tblLayout w:type="fixed"/>
        <w:tblLook w:val="0400"/>
      </w:tblPr>
      <w:tblGrid>
        <w:gridCol w:w="2970"/>
        <w:gridCol w:w="4755"/>
        <w:tblGridChange w:id="0">
          <w:tblGrid>
            <w:gridCol w:w="2970"/>
            <w:gridCol w:w="4755"/>
          </w:tblGrid>
        </w:tblGridChange>
      </w:tblGrid>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Segments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Composite Fiber Splicing and Testing (Cost Per Splice)</w:t>
            </w: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0" w:line="240" w:lineRule="auto"/>
              <w:jc w:val="both"/>
              <w:rPr>
                <w:rFonts w:ascii="Times New Roman" w:cs="Times New Roman" w:eastAsia="Times New Roman" w:hAnsi="Times New Roman"/>
              </w:rPr>
            </w:pPr>
            <w:r w:rsidDel="00000000" w:rsidR="00000000" w:rsidRPr="00000000">
              <w:rPr>
                <w:rFonts w:ascii="Calibri" w:cs="Calibri" w:eastAsia="Calibri" w:hAnsi="Calibri"/>
                <w:b w:val="1"/>
                <w:color w:val="ff0000"/>
                <w:rtl w:val="0"/>
              </w:rPr>
              <w:t xml:space="preserve">Sample Data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Fonts w:ascii="Calibri" w:cs="Calibri" w:eastAsia="Calibri" w:hAnsi="Calibri"/>
                <w:b w:val="1"/>
                <w:color w:val="ff0000"/>
                <w:rtl w:val="0"/>
              </w:rPr>
              <w:t xml:space="preserve">$18/splice</w:t>
            </w: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Winston-Salem to Salisbury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Salisbury to Albemarle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Sanford to Fayetteville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0" w:line="240" w:lineRule="auto"/>
              <w:jc w:val="both"/>
              <w:rPr/>
            </w:pPr>
            <w:r w:rsidDel="00000000" w:rsidR="00000000" w:rsidRPr="00000000">
              <w:rPr>
                <w:rtl w:val="0"/>
              </w:rPr>
              <w:t xml:space="preserve">Fayetteville to Kenansville</w:t>
            </w: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0" w:line="240" w:lineRule="auto"/>
              <w:rPr/>
            </w:pP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tabs>
                <w:tab w:val="left" w:leader="none" w:pos="5060"/>
              </w:tabs>
              <w:spacing w:after="0" w:line="240" w:lineRule="auto"/>
              <w:jc w:val="both"/>
              <w:rPr/>
            </w:pPr>
            <w:r w:rsidDel="00000000" w:rsidR="00000000" w:rsidRPr="00000000">
              <w:rPr>
                <w:rtl w:val="0"/>
              </w:rPr>
              <w:t xml:space="preserve">Kenansville to Jacksonville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240" w:lineRule="auto"/>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